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935BE" w14:textId="77777777" w:rsidR="00C20BD9" w:rsidRDefault="00C20BD9">
      <w:pPr>
        <w:spacing w:after="120" w:line="240" w:lineRule="auto"/>
        <w:rPr>
          <w:b/>
          <w:bCs/>
          <w:sz w:val="32"/>
          <w:szCs w:val="32"/>
        </w:rPr>
      </w:pPr>
    </w:p>
    <w:p w14:paraId="620F9669" w14:textId="77777777" w:rsidR="00C20BD9" w:rsidRDefault="00000000">
      <w:pPr>
        <w:tabs>
          <w:tab w:val="left" w:pos="2777"/>
        </w:tabs>
        <w:spacing w:after="120" w:line="240" w:lineRule="auto"/>
      </w:pPr>
      <w:r>
        <w:rPr>
          <w:noProof/>
        </w:rPr>
        <w:drawing>
          <wp:inline distT="0" distB="0" distL="0" distR="0" wp14:anchorId="1C2A97DC" wp14:editId="29108C78">
            <wp:extent cx="2272668" cy="470531"/>
            <wp:effectExtent l="0" t="0" r="0" b="5719"/>
            <wp:docPr id="1" name="Imagen 23" descr="D:\Escritorio\logo_ulpgc_horizontal_acronimo_2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9985" t="26878" b="24036"/>
                    <a:stretch>
                      <a:fillRect/>
                    </a:stretch>
                  </pic:blipFill>
                  <pic:spPr>
                    <a:xfrm>
                      <a:off x="0" y="0"/>
                      <a:ext cx="2272668" cy="4705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ab/>
      </w:r>
    </w:p>
    <w:p w14:paraId="0B0A1290" w14:textId="77777777" w:rsidR="00C20BD9" w:rsidRDefault="00C20BD9">
      <w:pPr>
        <w:spacing w:after="120" w:line="240" w:lineRule="auto"/>
        <w:jc w:val="center"/>
        <w:rPr>
          <w:b/>
          <w:bCs/>
          <w:sz w:val="28"/>
          <w:szCs w:val="28"/>
        </w:rPr>
      </w:pPr>
    </w:p>
    <w:p w14:paraId="6960DE1B" w14:textId="77777777" w:rsidR="004C1EFD" w:rsidRDefault="004C1EFD">
      <w:pPr>
        <w:spacing w:after="120" w:line="240" w:lineRule="auto"/>
        <w:jc w:val="center"/>
        <w:rPr>
          <w:b/>
          <w:bCs/>
          <w:color w:val="323E4F"/>
          <w:sz w:val="32"/>
          <w:szCs w:val="32"/>
        </w:rPr>
      </w:pPr>
    </w:p>
    <w:p w14:paraId="5AFC60ED" w14:textId="58FDA8AA" w:rsidR="003035A7" w:rsidRPr="00DC383F" w:rsidRDefault="00000000" w:rsidP="004C1EFD">
      <w:pPr>
        <w:spacing w:after="120" w:line="240" w:lineRule="auto"/>
        <w:ind w:right="-852"/>
        <w:jc w:val="center"/>
        <w:rPr>
          <w:b/>
          <w:bCs/>
          <w:color w:val="323E4F"/>
          <w:sz w:val="36"/>
          <w:szCs w:val="36"/>
        </w:rPr>
      </w:pPr>
      <w:r w:rsidRPr="00DC383F">
        <w:rPr>
          <w:b/>
          <w:bCs/>
          <w:color w:val="323E4F"/>
          <w:sz w:val="36"/>
          <w:szCs w:val="36"/>
        </w:rPr>
        <w:t xml:space="preserve">ACUERDOS </w:t>
      </w:r>
      <w:r w:rsidR="004C1EFD" w:rsidRPr="00DC383F">
        <w:rPr>
          <w:b/>
          <w:bCs/>
          <w:color w:val="323E4F"/>
          <w:sz w:val="36"/>
          <w:szCs w:val="36"/>
        </w:rPr>
        <w:t>ADOPTADOS POR E</w:t>
      </w:r>
      <w:r w:rsidRPr="00DC383F">
        <w:rPr>
          <w:b/>
          <w:bCs/>
          <w:color w:val="323E4F"/>
          <w:sz w:val="36"/>
          <w:szCs w:val="36"/>
        </w:rPr>
        <w:t>L CLAUSTRO DE LA</w:t>
      </w:r>
      <w:r w:rsidR="004C1EFD" w:rsidRPr="00DC383F">
        <w:rPr>
          <w:b/>
          <w:bCs/>
          <w:color w:val="323E4F"/>
          <w:sz w:val="36"/>
          <w:szCs w:val="36"/>
        </w:rPr>
        <w:t xml:space="preserve"> </w:t>
      </w:r>
      <w:r w:rsidR="003035A7" w:rsidRPr="00DC383F">
        <w:rPr>
          <w:b/>
          <w:bCs/>
          <w:color w:val="323E4F"/>
          <w:sz w:val="36"/>
          <w:szCs w:val="36"/>
        </w:rPr>
        <w:t xml:space="preserve">                                     </w:t>
      </w:r>
      <w:r w:rsidR="004C1EFD" w:rsidRPr="00DC383F">
        <w:rPr>
          <w:b/>
          <w:bCs/>
          <w:color w:val="323E4F"/>
          <w:sz w:val="36"/>
          <w:szCs w:val="36"/>
        </w:rPr>
        <w:t>UNIVERSIDAD</w:t>
      </w:r>
      <w:r w:rsidR="003035A7" w:rsidRPr="00DC383F">
        <w:rPr>
          <w:b/>
          <w:bCs/>
          <w:color w:val="323E4F"/>
          <w:sz w:val="36"/>
          <w:szCs w:val="36"/>
        </w:rPr>
        <w:t xml:space="preserve"> </w:t>
      </w:r>
      <w:r w:rsidR="004C1EFD" w:rsidRPr="00DC383F">
        <w:rPr>
          <w:b/>
          <w:bCs/>
          <w:color w:val="323E4F"/>
          <w:sz w:val="36"/>
          <w:szCs w:val="36"/>
        </w:rPr>
        <w:t>DE LAS PALMAS DE GRAN CANARIA</w:t>
      </w:r>
      <w:r w:rsidRPr="00DC383F">
        <w:rPr>
          <w:b/>
          <w:bCs/>
          <w:color w:val="323E4F"/>
          <w:sz w:val="36"/>
          <w:szCs w:val="36"/>
        </w:rPr>
        <w:t xml:space="preserve"> </w:t>
      </w:r>
    </w:p>
    <w:p w14:paraId="17496DD0" w14:textId="5ABA8CEF" w:rsidR="00C20BD9" w:rsidRPr="003035A7" w:rsidRDefault="00DC383F" w:rsidP="003035A7">
      <w:pPr>
        <w:pStyle w:val="Prrafodelista"/>
        <w:numPr>
          <w:ilvl w:val="0"/>
          <w:numId w:val="3"/>
        </w:numPr>
        <w:spacing w:after="120" w:line="240" w:lineRule="auto"/>
        <w:ind w:right="-852"/>
        <w:jc w:val="center"/>
        <w:rPr>
          <w:b/>
          <w:bCs/>
          <w:color w:val="323E4F"/>
          <w:sz w:val="32"/>
          <w:szCs w:val="32"/>
        </w:rPr>
      </w:pPr>
      <w:r>
        <w:rPr>
          <w:b/>
          <w:bCs/>
          <w:color w:val="323E4F"/>
          <w:sz w:val="32"/>
          <w:szCs w:val="32"/>
        </w:rPr>
        <w:t xml:space="preserve">AÑO </w:t>
      </w:r>
      <w:r w:rsidRPr="003035A7">
        <w:rPr>
          <w:b/>
          <w:bCs/>
          <w:color w:val="323E4F"/>
          <w:sz w:val="32"/>
          <w:szCs w:val="32"/>
        </w:rPr>
        <w:t>202</w:t>
      </w:r>
      <w:r w:rsidR="00B47BBD">
        <w:rPr>
          <w:b/>
          <w:bCs/>
          <w:color w:val="323E4F"/>
          <w:sz w:val="32"/>
          <w:szCs w:val="32"/>
        </w:rPr>
        <w:t>3</w:t>
      </w:r>
      <w:r w:rsidR="003035A7">
        <w:rPr>
          <w:b/>
          <w:bCs/>
          <w:color w:val="323E4F"/>
          <w:sz w:val="32"/>
          <w:szCs w:val="32"/>
        </w:rPr>
        <w:t xml:space="preserve">  </w:t>
      </w:r>
      <w:r>
        <w:rPr>
          <w:b/>
          <w:bCs/>
          <w:color w:val="323E4F"/>
          <w:sz w:val="32"/>
          <w:szCs w:val="32"/>
        </w:rPr>
        <w:t xml:space="preserve"> </w:t>
      </w:r>
      <w:r w:rsidR="003035A7">
        <w:rPr>
          <w:b/>
          <w:bCs/>
          <w:color w:val="323E4F"/>
          <w:sz w:val="32"/>
          <w:szCs w:val="32"/>
        </w:rPr>
        <w:t>-</w:t>
      </w:r>
    </w:p>
    <w:p w14:paraId="5129076C" w14:textId="77777777" w:rsidR="00C20BD9" w:rsidRDefault="00C20BD9"/>
    <w:p w14:paraId="2E0E8E15" w14:textId="77777777" w:rsidR="00C20BD9" w:rsidRDefault="00C20BD9">
      <w:pPr>
        <w:jc w:val="both"/>
        <w:rPr>
          <w:rFonts w:ascii="Arial" w:hAnsi="Arial" w:cs="Arial"/>
          <w:b/>
          <w:bCs/>
        </w:rPr>
      </w:pPr>
    </w:p>
    <w:p w14:paraId="124F1AC1" w14:textId="77777777" w:rsidR="00736269" w:rsidRDefault="00736269">
      <w:pPr>
        <w:jc w:val="both"/>
        <w:rPr>
          <w:rFonts w:ascii="Arial" w:hAnsi="Arial" w:cs="Arial"/>
          <w:b/>
          <w:bCs/>
        </w:rPr>
      </w:pPr>
    </w:p>
    <w:p w14:paraId="1808CC4B" w14:textId="36F22343" w:rsidR="00736269" w:rsidRPr="00736269" w:rsidRDefault="00736269" w:rsidP="00736269">
      <w:pPr>
        <w:ind w:left="85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Reunión de </w:t>
      </w:r>
      <w:r>
        <w:rPr>
          <w:rFonts w:ascii="Arial" w:hAnsi="Arial" w:cs="Arial"/>
          <w:b/>
          <w:bCs/>
        </w:rPr>
        <w:t>extraordinaria de 20</w:t>
      </w:r>
      <w:r>
        <w:rPr>
          <w:rFonts w:ascii="Arial" w:hAnsi="Arial" w:cs="Arial"/>
          <w:b/>
          <w:bCs/>
        </w:rPr>
        <w:t xml:space="preserve"> de julio de 2023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 xml:space="preserve"> </w:t>
      </w:r>
      <w:r w:rsidRPr="00736269">
        <w:rPr>
          <w:rFonts w:ascii="Arial" w:hAnsi="Arial" w:cs="Arial"/>
        </w:rPr>
        <w:t>Debate monográfico sobre el estado de la ULPGC. No se adoptaron acuerdos.</w:t>
      </w:r>
      <w:r>
        <w:rPr>
          <w:rFonts w:ascii="Arial" w:hAnsi="Arial" w:cs="Arial"/>
        </w:rPr>
        <w:t xml:space="preserve"> </w:t>
      </w:r>
      <w:hyperlink r:id="rId8" w:history="1">
        <w:r w:rsidRPr="00736269">
          <w:rPr>
            <w:rStyle w:val="Hipervnculo"/>
            <w:rFonts w:ascii="Arial" w:hAnsi="Arial" w:cs="Arial"/>
          </w:rPr>
          <w:t>Acta nº 132.</w:t>
        </w:r>
      </w:hyperlink>
    </w:p>
    <w:p w14:paraId="1637B641" w14:textId="77777777" w:rsidR="00736269" w:rsidRDefault="00736269" w:rsidP="00B47BBD">
      <w:pPr>
        <w:ind w:left="851"/>
        <w:jc w:val="both"/>
        <w:rPr>
          <w:rFonts w:ascii="Arial" w:hAnsi="Arial" w:cs="Arial"/>
          <w:b/>
          <w:bCs/>
        </w:rPr>
      </w:pPr>
    </w:p>
    <w:p w14:paraId="53911ADF" w14:textId="77777777" w:rsidR="00736269" w:rsidRDefault="00736269" w:rsidP="00B47BBD">
      <w:pPr>
        <w:ind w:left="851"/>
        <w:jc w:val="both"/>
        <w:rPr>
          <w:rFonts w:ascii="Arial" w:hAnsi="Arial" w:cs="Arial"/>
          <w:b/>
          <w:bCs/>
        </w:rPr>
      </w:pPr>
    </w:p>
    <w:p w14:paraId="42277480" w14:textId="51AF37AF" w:rsidR="00B47BBD" w:rsidRDefault="00B47BBD" w:rsidP="00B47BBD">
      <w:pPr>
        <w:ind w:left="851"/>
        <w:jc w:val="both"/>
      </w:pPr>
      <w:r>
        <w:rPr>
          <w:rFonts w:ascii="Arial" w:hAnsi="Arial" w:cs="Arial"/>
          <w:b/>
          <w:bCs/>
        </w:rPr>
        <w:t xml:space="preserve">Reunión de 6 de julio de 2023 </w:t>
      </w:r>
      <w:r>
        <w:rPr>
          <w:rFonts w:ascii="Arial" w:hAnsi="Arial" w:cs="Arial"/>
        </w:rPr>
        <w:t>(</w:t>
      </w:r>
      <w:hyperlink r:id="rId9" w:history="1">
        <w:r w:rsidRPr="00F119C1">
          <w:rPr>
            <w:rStyle w:val="Hipervnculo"/>
            <w:rFonts w:ascii="Arial" w:hAnsi="Arial" w:cs="Arial"/>
          </w:rPr>
          <w:t>BOULPGC nº 10 de 4 de agosto</w:t>
        </w:r>
      </w:hyperlink>
      <w:r>
        <w:rPr>
          <w:rFonts w:ascii="Arial" w:hAnsi="Arial" w:cs="Arial"/>
        </w:rPr>
        <w:t xml:space="preserve">, </w:t>
      </w:r>
      <w:hyperlink r:id="rId10" w:history="1">
        <w:r w:rsidR="00736269" w:rsidRPr="00736269">
          <w:rPr>
            <w:rStyle w:val="Hipervnculo"/>
            <w:rFonts w:ascii="Arial" w:hAnsi="Arial" w:cs="Arial"/>
          </w:rPr>
          <w:t>Acta nº 1</w:t>
        </w:r>
        <w:r w:rsidR="00736269" w:rsidRPr="00736269">
          <w:rPr>
            <w:rStyle w:val="Hipervnculo"/>
            <w:rFonts w:ascii="Arial" w:hAnsi="Arial" w:cs="Arial"/>
          </w:rPr>
          <w:t>31</w:t>
        </w:r>
      </w:hyperlink>
      <w:r>
        <w:rPr>
          <w:rFonts w:ascii="Arial" w:hAnsi="Arial" w:cs="Arial"/>
        </w:rPr>
        <w:t>)</w:t>
      </w:r>
    </w:p>
    <w:p w14:paraId="0E386EE3" w14:textId="30B034EB" w:rsidR="00B47BBD" w:rsidRPr="00B47BBD" w:rsidRDefault="00000000" w:rsidP="00B47BBD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hyperlink r:id="rId11" w:history="1">
        <w:r w:rsidR="00B47BBD" w:rsidRPr="00F119C1">
          <w:rPr>
            <w:rStyle w:val="Hipervnculo"/>
            <w:rFonts w:ascii="Arial" w:hAnsi="Arial" w:cs="Arial"/>
            <w:lang w:val="es-ES_tradnl"/>
          </w:rPr>
          <w:t>Acuerdo del Claustro de la ULPGC, de 6 de julio de 2023, por el que se nombran los miembros de las vacantes en la Junta Electoral Central, la Defensoría Universitaria y el Consejo de Gobierno.</w:t>
        </w:r>
      </w:hyperlink>
    </w:p>
    <w:p w14:paraId="3F742CDA" w14:textId="77777777" w:rsidR="00B47BBD" w:rsidRDefault="00B47BBD" w:rsidP="004C1EFD">
      <w:pPr>
        <w:ind w:left="851"/>
        <w:jc w:val="both"/>
        <w:rPr>
          <w:rFonts w:ascii="Arial" w:hAnsi="Arial" w:cs="Arial"/>
          <w:b/>
          <w:bCs/>
        </w:rPr>
      </w:pPr>
    </w:p>
    <w:p w14:paraId="7CEB9296" w14:textId="77777777" w:rsidR="00736269" w:rsidRDefault="00736269" w:rsidP="004C1EFD">
      <w:pPr>
        <w:ind w:left="851"/>
        <w:jc w:val="both"/>
        <w:rPr>
          <w:rFonts w:ascii="Arial" w:hAnsi="Arial" w:cs="Arial"/>
          <w:b/>
          <w:bCs/>
        </w:rPr>
      </w:pPr>
    </w:p>
    <w:p w14:paraId="7F6D78EB" w14:textId="4BBE1A17" w:rsidR="00C20BD9" w:rsidRDefault="00000000" w:rsidP="004C1EFD">
      <w:pPr>
        <w:ind w:left="851"/>
        <w:jc w:val="both"/>
      </w:pPr>
      <w:r>
        <w:rPr>
          <w:rFonts w:ascii="Arial" w:hAnsi="Arial" w:cs="Arial"/>
          <w:b/>
          <w:bCs/>
        </w:rPr>
        <w:t xml:space="preserve">Reunión de </w:t>
      </w:r>
      <w:r w:rsidR="00B47BBD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 xml:space="preserve"> de </w:t>
      </w:r>
      <w:r w:rsidR="00B47BBD">
        <w:rPr>
          <w:rFonts w:ascii="Arial" w:hAnsi="Arial" w:cs="Arial"/>
          <w:b/>
          <w:bCs/>
        </w:rPr>
        <w:t>juni</w:t>
      </w:r>
      <w:r>
        <w:rPr>
          <w:rFonts w:ascii="Arial" w:hAnsi="Arial" w:cs="Arial"/>
          <w:b/>
          <w:bCs/>
        </w:rPr>
        <w:t>o de 202</w:t>
      </w:r>
      <w:r w:rsidR="00B47BBD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(</w:t>
      </w:r>
      <w:hyperlink r:id="rId12" w:anchor="%5B%7B%22num%22%3A72%2C%22gen%22%3A0%7D%2C%7B%22name%22%3A%22FitR%22%7D%2C-126%2C11%2C721%2C582%5D" w:history="1">
        <w:r w:rsidRPr="00F119C1">
          <w:rPr>
            <w:rStyle w:val="Hipervnculo"/>
            <w:rFonts w:ascii="Arial" w:hAnsi="Arial" w:cs="Arial"/>
          </w:rPr>
          <w:t>BOULPGC</w:t>
        </w:r>
        <w:r w:rsidR="00B47BBD" w:rsidRPr="00F119C1">
          <w:rPr>
            <w:rStyle w:val="Hipervnculo"/>
            <w:rFonts w:ascii="Arial" w:hAnsi="Arial" w:cs="Arial"/>
          </w:rPr>
          <w:t xml:space="preserve"> nº 9 </w:t>
        </w:r>
        <w:r w:rsidRPr="00F119C1">
          <w:rPr>
            <w:rStyle w:val="Hipervnculo"/>
            <w:rFonts w:ascii="Arial" w:hAnsi="Arial" w:cs="Arial"/>
          </w:rPr>
          <w:t xml:space="preserve">de </w:t>
        </w:r>
        <w:r w:rsidR="00B47BBD" w:rsidRPr="00F119C1">
          <w:rPr>
            <w:rStyle w:val="Hipervnculo"/>
            <w:rFonts w:ascii="Arial" w:hAnsi="Arial" w:cs="Arial"/>
          </w:rPr>
          <w:t>7</w:t>
        </w:r>
        <w:r w:rsidRPr="00F119C1">
          <w:rPr>
            <w:rStyle w:val="Hipervnculo"/>
            <w:rFonts w:ascii="Arial" w:hAnsi="Arial" w:cs="Arial"/>
          </w:rPr>
          <w:t xml:space="preserve"> de ju</w:t>
        </w:r>
        <w:r w:rsidR="00B47BBD" w:rsidRPr="00F119C1">
          <w:rPr>
            <w:rStyle w:val="Hipervnculo"/>
            <w:rFonts w:ascii="Arial" w:hAnsi="Arial" w:cs="Arial"/>
          </w:rPr>
          <w:t>l</w:t>
        </w:r>
        <w:r w:rsidRPr="00F119C1">
          <w:rPr>
            <w:rStyle w:val="Hipervnculo"/>
            <w:rFonts w:ascii="Arial" w:hAnsi="Arial" w:cs="Arial"/>
          </w:rPr>
          <w:t>io</w:t>
        </w:r>
      </w:hyperlink>
      <w:r>
        <w:rPr>
          <w:rFonts w:ascii="Arial" w:hAnsi="Arial" w:cs="Arial"/>
        </w:rPr>
        <w:t xml:space="preserve">, </w:t>
      </w:r>
      <w:hyperlink r:id="rId13" w:history="1">
        <w:r w:rsidR="00736269" w:rsidRPr="00736269">
          <w:rPr>
            <w:rStyle w:val="Hipervnculo"/>
            <w:rFonts w:ascii="Arial" w:hAnsi="Arial" w:cs="Arial"/>
          </w:rPr>
          <w:t>Acta nº 130</w:t>
        </w:r>
      </w:hyperlink>
      <w:r>
        <w:rPr>
          <w:rFonts w:ascii="Arial" w:hAnsi="Arial" w:cs="Arial"/>
        </w:rPr>
        <w:t>)</w:t>
      </w:r>
    </w:p>
    <w:p w14:paraId="07F4E7D4" w14:textId="4A4D9FDD" w:rsidR="00C20BD9" w:rsidRPr="00B47BBD" w:rsidRDefault="00000000" w:rsidP="00B47BB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hyperlink r:id="rId14" w:anchor="%5B%7B%22num%22%3A72%2C%22gen%22%3A0%7D%2C%7B%22name%22%3A%22FitR%22%7D%2C-126%2C11%2C721%2C582%5D" w:history="1">
        <w:r w:rsidR="004C1EFD" w:rsidRPr="00B47BBD">
          <w:rPr>
            <w:rStyle w:val="Hipervnculo"/>
            <w:rFonts w:ascii="Arial" w:hAnsi="Arial" w:cs="Arial"/>
            <w:lang w:val="es-ES_tradnl"/>
          </w:rPr>
          <w:t xml:space="preserve">Acuerdo del Claustro de la ULPGC, de </w:t>
        </w:r>
        <w:r w:rsidR="00B47BBD" w:rsidRPr="00B47BBD">
          <w:rPr>
            <w:rStyle w:val="Hipervnculo"/>
            <w:rFonts w:ascii="Arial" w:hAnsi="Arial" w:cs="Arial"/>
            <w:lang w:val="es-ES_tradnl"/>
          </w:rPr>
          <w:t xml:space="preserve">9 </w:t>
        </w:r>
        <w:r w:rsidR="004C1EFD" w:rsidRPr="00B47BBD">
          <w:rPr>
            <w:rStyle w:val="Hipervnculo"/>
            <w:rFonts w:ascii="Arial" w:hAnsi="Arial" w:cs="Arial"/>
            <w:lang w:val="es-ES_tradnl"/>
          </w:rPr>
          <w:t xml:space="preserve">de </w:t>
        </w:r>
        <w:r w:rsidR="00B47BBD" w:rsidRPr="00B47BBD">
          <w:rPr>
            <w:rStyle w:val="Hipervnculo"/>
            <w:rFonts w:ascii="Arial" w:hAnsi="Arial" w:cs="Arial"/>
            <w:lang w:val="es-ES_tradnl"/>
          </w:rPr>
          <w:t>juni</w:t>
        </w:r>
        <w:r w:rsidR="004C1EFD" w:rsidRPr="00B47BBD">
          <w:rPr>
            <w:rStyle w:val="Hipervnculo"/>
            <w:rFonts w:ascii="Arial" w:hAnsi="Arial" w:cs="Arial"/>
            <w:lang w:val="es-ES_tradnl"/>
          </w:rPr>
          <w:t>o de 202</w:t>
        </w:r>
        <w:r w:rsidR="00B47BBD">
          <w:rPr>
            <w:rStyle w:val="Hipervnculo"/>
            <w:rFonts w:ascii="Arial" w:hAnsi="Arial" w:cs="Arial"/>
            <w:lang w:val="es-ES_tradnl"/>
          </w:rPr>
          <w:t>3</w:t>
        </w:r>
        <w:r w:rsidR="004C1EFD" w:rsidRPr="00B47BBD">
          <w:rPr>
            <w:rStyle w:val="Hipervnculo"/>
            <w:rFonts w:ascii="Arial" w:hAnsi="Arial" w:cs="Arial"/>
            <w:lang w:val="es-ES_tradnl"/>
          </w:rPr>
          <w:t xml:space="preserve">, por el que se </w:t>
        </w:r>
        <w:r w:rsidR="00B47BBD" w:rsidRPr="00B47BBD">
          <w:rPr>
            <w:rStyle w:val="Hipervnculo"/>
            <w:rFonts w:ascii="Arial" w:hAnsi="Arial" w:cs="Arial"/>
            <w:lang w:val="es-ES_tradnl"/>
          </w:rPr>
          <w:t>aprueba el Calendario electoral para elegir a los miembros de las vacantes en la Junta Electoral Central, la Defensoría Universitaria y el Consejo de Gobierno.</w:t>
        </w:r>
      </w:hyperlink>
    </w:p>
    <w:sectPr w:rsidR="00C20BD9" w:rsidRPr="00B47BBD" w:rsidSect="00C73B28">
      <w:pgSz w:w="11906" w:h="16838"/>
      <w:pgMar w:top="709" w:right="1700" w:bottom="1417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7689C" w14:textId="77777777" w:rsidR="00C73B28" w:rsidRDefault="00C73B28">
      <w:pPr>
        <w:spacing w:after="0" w:line="240" w:lineRule="auto"/>
      </w:pPr>
      <w:r>
        <w:separator/>
      </w:r>
    </w:p>
  </w:endnote>
  <w:endnote w:type="continuationSeparator" w:id="0">
    <w:p w14:paraId="609CCCEE" w14:textId="77777777" w:rsidR="00C73B28" w:rsidRDefault="00C73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E729E" w14:textId="77777777" w:rsidR="00C73B28" w:rsidRDefault="00C73B2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E81F7EA" w14:textId="77777777" w:rsidR="00C73B28" w:rsidRDefault="00C73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7716A"/>
    <w:multiLevelType w:val="multilevel"/>
    <w:tmpl w:val="73CEFF7C"/>
    <w:lvl w:ilvl="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/>
        <w:b w:val="0"/>
        <w:spacing w:val="-1"/>
        <w:w w:val="102"/>
        <w:sz w:val="16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4790A77"/>
    <w:multiLevelType w:val="hybridMultilevel"/>
    <w:tmpl w:val="D978635A"/>
    <w:lvl w:ilvl="0" w:tplc="C6BEFB98">
      <w:numFmt w:val="bullet"/>
      <w:lvlText w:val="-"/>
      <w:lvlJc w:val="left"/>
      <w:pPr>
        <w:ind w:left="1211" w:hanging="360"/>
      </w:pPr>
      <w:rPr>
        <w:rFonts w:ascii="Calibri" w:eastAsia="Calibr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F214ED5"/>
    <w:multiLevelType w:val="multilevel"/>
    <w:tmpl w:val="13785BF2"/>
    <w:lvl w:ilvl="0">
      <w:numFmt w:val="bullet"/>
      <w:lvlText w:val="-"/>
      <w:lvlJc w:val="left"/>
      <w:pPr>
        <w:ind w:left="1297" w:hanging="360"/>
      </w:pPr>
      <w:rPr>
        <w:rFonts w:ascii="Calibri Light" w:eastAsia="Times New Roman" w:hAnsi="Calibri Light" w:cs="Times New Roman"/>
        <w:b w:val="0"/>
        <w:spacing w:val="-1"/>
        <w:w w:val="102"/>
        <w:sz w:val="16"/>
        <w:szCs w:val="16"/>
        <w:lang w:val="es-ES" w:eastAsia="en-US" w:bidi="ar-SA"/>
      </w:rPr>
    </w:lvl>
    <w:lvl w:ilvl="1">
      <w:numFmt w:val="bullet"/>
      <w:lvlText w:val="o"/>
      <w:lvlJc w:val="left"/>
      <w:pPr>
        <w:ind w:left="201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3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5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7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9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1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3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57" w:hanging="360"/>
      </w:pPr>
      <w:rPr>
        <w:rFonts w:ascii="Wingdings" w:hAnsi="Wingdings"/>
      </w:rPr>
    </w:lvl>
  </w:abstractNum>
  <w:abstractNum w:abstractNumId="3" w15:restartNumberingAfterBreak="0">
    <w:nsid w:val="77722FC4"/>
    <w:multiLevelType w:val="hybridMultilevel"/>
    <w:tmpl w:val="955431EA"/>
    <w:lvl w:ilvl="0" w:tplc="C6BEFB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653375">
    <w:abstractNumId w:val="2"/>
  </w:num>
  <w:num w:numId="2" w16cid:durableId="1969627084">
    <w:abstractNumId w:val="0"/>
  </w:num>
  <w:num w:numId="3" w16cid:durableId="1554386800">
    <w:abstractNumId w:val="3"/>
  </w:num>
  <w:num w:numId="4" w16cid:durableId="657076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BD9"/>
    <w:rsid w:val="001C4BE3"/>
    <w:rsid w:val="002A5DE4"/>
    <w:rsid w:val="003035A7"/>
    <w:rsid w:val="003B2EF3"/>
    <w:rsid w:val="004C1EFD"/>
    <w:rsid w:val="005E42BE"/>
    <w:rsid w:val="00660CC3"/>
    <w:rsid w:val="00736269"/>
    <w:rsid w:val="007F6654"/>
    <w:rsid w:val="00A10726"/>
    <w:rsid w:val="00B47BBD"/>
    <w:rsid w:val="00C10DA9"/>
    <w:rsid w:val="00C20BD9"/>
    <w:rsid w:val="00C73B28"/>
    <w:rsid w:val="00DC383F"/>
    <w:rsid w:val="00F119C1"/>
    <w:rsid w:val="00F27AA9"/>
    <w:rsid w:val="00FB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E6B33"/>
  <w15:docId w15:val="{045B724B-5CB7-4B6D-A10A-FC8B49C19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spacing w:after="0" w:line="240" w:lineRule="auto"/>
      <w:jc w:val="both"/>
      <w:outlineLvl w:val="0"/>
    </w:pPr>
    <w:rPr>
      <w:rFonts w:ascii="Trebuchet MS" w:hAnsi="Trebuchet MS"/>
      <w:color w:val="0066A1"/>
      <w:sz w:val="32"/>
      <w:lang w:eastAsia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tabs>
        <w:tab w:val="left" w:pos="3225"/>
      </w:tabs>
      <w:spacing w:after="0" w:line="360" w:lineRule="auto"/>
      <w:ind w:left="360" w:hanging="360"/>
      <w:jc w:val="both"/>
      <w:outlineLvl w:val="3"/>
    </w:pPr>
    <w:rPr>
      <w:rFonts w:ascii="Trebuchet MS" w:hAnsi="Trebuchet MS"/>
      <w:b/>
      <w:color w:val="0066A1"/>
      <w:sz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rPr>
      <w:rFonts w:ascii="Trebuchet MS" w:hAnsi="Trebuchet MS"/>
      <w:color w:val="0066A1"/>
      <w:sz w:val="32"/>
      <w:lang w:eastAsia="es-ES"/>
    </w:rPr>
  </w:style>
  <w:style w:type="character" w:customStyle="1" w:styleId="Ttulo4Car">
    <w:name w:val="Título 4 Car"/>
    <w:rPr>
      <w:rFonts w:ascii="Trebuchet MS" w:hAnsi="Trebuchet MS"/>
      <w:b/>
      <w:color w:val="0066A1"/>
      <w:sz w:val="28"/>
    </w:rPr>
  </w:style>
  <w:style w:type="paragraph" w:styleId="Prrafodelista">
    <w:name w:val="List Paragraph"/>
    <w:basedOn w:val="Normal"/>
    <w:pPr>
      <w:ind w:left="720"/>
      <w:contextualSpacing/>
    </w:pPr>
  </w:style>
  <w:style w:type="character" w:styleId="Hipervnculo">
    <w:name w:val="Hyperlink"/>
    <w:basedOn w:val="Fuentedeprrafopredeter"/>
    <w:rPr>
      <w:color w:val="0563C1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lpgc.es/sites/default/files/ArchivosULPGC/claustro/2023/20230720_acta_132_claustro_20_de_julio_1.pdf" TargetMode="External"/><Relationship Id="rId13" Type="http://schemas.openxmlformats.org/officeDocument/2006/relationships/hyperlink" Target="https://www.ulpgc.es/sites/default/files/ArchivosULPGC/claustro/2022/acta_claustro_130_09_de_junio_2023_1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ulpgc.es/sites/default/files/ArchivosULPGC/boulpgc/BOULPGC/boulpgc_7_julio_2023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lpgc.es/sites/default/files/ArchivosULPGC/boulpgc/BOULPGC/boulpgc_4_agosto_2023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ulpgc.es/sites/default/files/ArchivosULPGC/claustro/2023/acta_num.131_claustro_6_julio_202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lpgc.es/sites/default/files/ArchivosULPGC/boulpgc/BOULPGC/boulpgc_4_agosto_2023.pdf" TargetMode="External"/><Relationship Id="rId14" Type="http://schemas.openxmlformats.org/officeDocument/2006/relationships/hyperlink" Target="https://www.ulpgc.es/sites/default/files/ArchivosULPGC/boulpgc/BOULPGC/boulpgc_7_julio_2023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Morant De Diego</dc:creator>
  <dc:description/>
  <cp:lastModifiedBy>María Teresa Morant De Diego</cp:lastModifiedBy>
  <cp:revision>3</cp:revision>
  <dcterms:created xsi:type="dcterms:W3CDTF">2024-02-19T11:24:00Z</dcterms:created>
  <dcterms:modified xsi:type="dcterms:W3CDTF">2024-02-19T11:27:00Z</dcterms:modified>
</cp:coreProperties>
</file>