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FF" w:rsidRPr="00C11D94" w:rsidRDefault="00C709FF">
      <w:pPr>
        <w:rPr>
          <w:sz w:val="20"/>
          <w:szCs w:val="20"/>
        </w:rPr>
      </w:pPr>
    </w:p>
    <w:p w:rsidR="00D05B79" w:rsidRPr="00C11D94" w:rsidRDefault="00D05B79" w:rsidP="00D05B79">
      <w:pPr>
        <w:jc w:val="center"/>
        <w:rPr>
          <w:b/>
          <w:szCs w:val="20"/>
          <w:u w:val="single"/>
        </w:rPr>
      </w:pPr>
      <w:r w:rsidRPr="00C11D94">
        <w:rPr>
          <w:b/>
          <w:szCs w:val="20"/>
          <w:u w:val="single"/>
        </w:rPr>
        <w:t>INSTRUCCIONES PARA TRAMITAR ÓRDENES DE SERVICIO</w:t>
      </w:r>
    </w:p>
    <w:p w:rsidR="002E784E" w:rsidRPr="00C11D94" w:rsidRDefault="002E784E" w:rsidP="00F0242D">
      <w:pPr>
        <w:jc w:val="both"/>
        <w:rPr>
          <w:sz w:val="20"/>
          <w:szCs w:val="20"/>
        </w:rPr>
      </w:pPr>
    </w:p>
    <w:p w:rsidR="00F0242D" w:rsidRPr="00C11D94" w:rsidRDefault="00F0242D" w:rsidP="00F0242D">
      <w:pPr>
        <w:jc w:val="both"/>
        <w:rPr>
          <w:sz w:val="20"/>
          <w:szCs w:val="20"/>
        </w:rPr>
      </w:pPr>
      <w:r w:rsidRPr="00C11D94">
        <w:rPr>
          <w:sz w:val="20"/>
          <w:szCs w:val="20"/>
        </w:rPr>
        <w:t xml:space="preserve">Antes de la realización de cualquier compromiso </w:t>
      </w:r>
      <w:r w:rsidR="000058A7" w:rsidRPr="00C11D94">
        <w:rPr>
          <w:sz w:val="20"/>
          <w:szCs w:val="20"/>
        </w:rPr>
        <w:t xml:space="preserve">o gasto </w:t>
      </w:r>
      <w:r w:rsidRPr="00C11D94">
        <w:rPr>
          <w:sz w:val="20"/>
          <w:szCs w:val="20"/>
        </w:rPr>
        <w:t xml:space="preserve">vinculado a un viaje, y siempre al menos 10 días hábiles antes del inicio de este, el Servicio de Investigación deberá disponer de la orden de servicio correspondiente </w:t>
      </w:r>
      <w:r w:rsidR="006B4590" w:rsidRPr="00C11D94">
        <w:rPr>
          <w:sz w:val="20"/>
          <w:szCs w:val="20"/>
        </w:rPr>
        <w:t>sin firmar</w:t>
      </w:r>
      <w:r w:rsidRPr="00C11D94">
        <w:rPr>
          <w:sz w:val="20"/>
          <w:szCs w:val="20"/>
        </w:rPr>
        <w:t>, siendo esta unidad la encargada de gestionar la firma de</w:t>
      </w:r>
      <w:r w:rsidR="000058A7" w:rsidRPr="00C11D94">
        <w:rPr>
          <w:sz w:val="20"/>
          <w:szCs w:val="20"/>
        </w:rPr>
        <w:t>l investigador/a principal</w:t>
      </w:r>
      <w:r w:rsidRPr="00C11D94">
        <w:rPr>
          <w:sz w:val="20"/>
          <w:szCs w:val="20"/>
        </w:rPr>
        <w:t xml:space="preserve"> y de la </w:t>
      </w:r>
      <w:r w:rsidR="002E784E" w:rsidRPr="00C11D94">
        <w:rPr>
          <w:sz w:val="20"/>
          <w:szCs w:val="20"/>
        </w:rPr>
        <w:t>Vicerrectora de Investigación y Transferencia</w:t>
      </w:r>
      <w:r w:rsidRPr="00C11D94">
        <w:rPr>
          <w:sz w:val="20"/>
          <w:szCs w:val="20"/>
        </w:rPr>
        <w:t xml:space="preserve"> para su autorización.</w:t>
      </w:r>
    </w:p>
    <w:p w:rsidR="002E784E" w:rsidRPr="00C11D94" w:rsidRDefault="00F0242D" w:rsidP="002E784E">
      <w:pPr>
        <w:jc w:val="both"/>
        <w:rPr>
          <w:sz w:val="20"/>
          <w:szCs w:val="20"/>
        </w:rPr>
      </w:pPr>
      <w:r w:rsidRPr="00C11D94">
        <w:rPr>
          <w:sz w:val="20"/>
          <w:szCs w:val="20"/>
        </w:rPr>
        <w:t xml:space="preserve">En el caso </w:t>
      </w:r>
      <w:r w:rsidR="00B660B8" w:rsidRPr="00C11D94">
        <w:rPr>
          <w:sz w:val="20"/>
          <w:szCs w:val="20"/>
        </w:rPr>
        <w:t xml:space="preserve">de </w:t>
      </w:r>
      <w:r w:rsidR="00CD382F" w:rsidRPr="00C11D94">
        <w:rPr>
          <w:sz w:val="20"/>
          <w:szCs w:val="20"/>
        </w:rPr>
        <w:t>recibir una solicitud de pago de viajes, cuya</w:t>
      </w:r>
      <w:r w:rsidRPr="00C11D94">
        <w:rPr>
          <w:sz w:val="20"/>
          <w:szCs w:val="20"/>
        </w:rPr>
        <w:t xml:space="preserve"> </w:t>
      </w:r>
      <w:r w:rsidR="00B660B8" w:rsidRPr="00C11D94">
        <w:rPr>
          <w:sz w:val="20"/>
          <w:szCs w:val="20"/>
        </w:rPr>
        <w:t>orden de servicio no estuviera autorizada por la Vicerrectora de Investigación y Transferencia antes del inicio de este,</w:t>
      </w:r>
      <w:r w:rsidRPr="00C11D94">
        <w:rPr>
          <w:sz w:val="20"/>
          <w:szCs w:val="20"/>
        </w:rPr>
        <w:t xml:space="preserve"> se procederá a la devolución de </w:t>
      </w:r>
      <w:r w:rsidR="00B660B8" w:rsidRPr="00C11D94">
        <w:rPr>
          <w:sz w:val="20"/>
          <w:szCs w:val="20"/>
        </w:rPr>
        <w:t>dicha</w:t>
      </w:r>
      <w:r w:rsidR="00CD382F" w:rsidRPr="00C11D94">
        <w:rPr>
          <w:sz w:val="20"/>
          <w:szCs w:val="20"/>
        </w:rPr>
        <w:t xml:space="preserve"> solicitud</w:t>
      </w:r>
      <w:r w:rsidRPr="00C11D94">
        <w:rPr>
          <w:sz w:val="20"/>
          <w:szCs w:val="20"/>
        </w:rPr>
        <w:t>.</w:t>
      </w:r>
    </w:p>
    <w:p w:rsidR="002E784E" w:rsidRPr="00C11D94" w:rsidRDefault="00C11D94" w:rsidP="002E784E">
      <w:pPr>
        <w:pStyle w:val="Sinespaciado"/>
        <w:rPr>
          <w:sz w:val="20"/>
          <w:szCs w:val="20"/>
        </w:rPr>
      </w:pPr>
      <w:r w:rsidRPr="00C11D94">
        <w:rPr>
          <w:sz w:val="20"/>
          <w:szCs w:val="20"/>
        </w:rPr>
        <w:t>Para el envío de la orden de servicio, debe seguir los siguientes pasos:</w:t>
      </w:r>
    </w:p>
    <w:tbl>
      <w:tblPr>
        <w:tblStyle w:val="Tablaconcuadrcula"/>
        <w:tblpPr w:leftFromText="141" w:rightFromText="141" w:vertAnchor="page" w:horzAnchor="margin" w:tblpY="5116"/>
        <w:tblW w:w="5000" w:type="pct"/>
        <w:tblLook w:val="04A0" w:firstRow="1" w:lastRow="0" w:firstColumn="1" w:lastColumn="0" w:noHBand="0" w:noVBand="1"/>
      </w:tblPr>
      <w:tblGrid>
        <w:gridCol w:w="2908"/>
        <w:gridCol w:w="5281"/>
        <w:gridCol w:w="3146"/>
        <w:gridCol w:w="2659"/>
      </w:tblGrid>
      <w:tr w:rsidR="00C11D94" w:rsidRPr="00C11D94" w:rsidTr="00C11D94">
        <w:trPr>
          <w:trHeight w:val="452"/>
        </w:trPr>
        <w:tc>
          <w:tcPr>
            <w:tcW w:w="1039" w:type="pct"/>
            <w:shd w:val="clear" w:color="auto" w:fill="BDD6EE" w:themeFill="accent1" w:themeFillTint="66"/>
            <w:vAlign w:val="center"/>
          </w:tcPr>
          <w:p w:rsidR="00C11D94" w:rsidRPr="00C11D94" w:rsidRDefault="00C11D94" w:rsidP="00C11D94">
            <w:pPr>
              <w:jc w:val="center"/>
              <w:rPr>
                <w:b/>
                <w:sz w:val="20"/>
                <w:szCs w:val="20"/>
              </w:rPr>
            </w:pPr>
            <w:r w:rsidRPr="00C11D94">
              <w:rPr>
                <w:b/>
                <w:sz w:val="20"/>
                <w:szCs w:val="20"/>
              </w:rPr>
              <w:t>¿Qué documentación debo aportar?</w:t>
            </w:r>
          </w:p>
        </w:tc>
        <w:tc>
          <w:tcPr>
            <w:tcW w:w="1887" w:type="pct"/>
            <w:shd w:val="clear" w:color="auto" w:fill="BDD6EE" w:themeFill="accent1" w:themeFillTint="66"/>
            <w:vAlign w:val="center"/>
          </w:tcPr>
          <w:p w:rsidR="00C11D94" w:rsidRPr="00C11D94" w:rsidRDefault="00C11D94" w:rsidP="00C11D94">
            <w:pPr>
              <w:jc w:val="center"/>
              <w:rPr>
                <w:b/>
                <w:sz w:val="20"/>
                <w:szCs w:val="20"/>
              </w:rPr>
            </w:pPr>
            <w:r w:rsidRPr="00C11D94">
              <w:rPr>
                <w:b/>
                <w:sz w:val="20"/>
                <w:szCs w:val="20"/>
              </w:rPr>
              <w:t>¿Dónde descargo el documento?</w:t>
            </w:r>
          </w:p>
        </w:tc>
        <w:tc>
          <w:tcPr>
            <w:tcW w:w="1124" w:type="pct"/>
            <w:shd w:val="clear" w:color="auto" w:fill="BDD6EE" w:themeFill="accent1" w:themeFillTint="66"/>
            <w:vAlign w:val="center"/>
          </w:tcPr>
          <w:p w:rsidR="00C11D94" w:rsidRPr="00C11D94" w:rsidRDefault="00C11D94" w:rsidP="00C11D94">
            <w:pPr>
              <w:jc w:val="center"/>
              <w:rPr>
                <w:b/>
                <w:sz w:val="20"/>
                <w:szCs w:val="20"/>
              </w:rPr>
            </w:pPr>
            <w:r w:rsidRPr="00C11D94">
              <w:rPr>
                <w:b/>
                <w:sz w:val="20"/>
                <w:szCs w:val="20"/>
              </w:rPr>
              <w:t>¿Por qué vía remito la documentación?</w:t>
            </w:r>
          </w:p>
        </w:tc>
        <w:tc>
          <w:tcPr>
            <w:tcW w:w="950" w:type="pct"/>
            <w:shd w:val="clear" w:color="auto" w:fill="BDD6EE" w:themeFill="accent1" w:themeFillTint="66"/>
            <w:vAlign w:val="center"/>
          </w:tcPr>
          <w:p w:rsidR="00C11D94" w:rsidRPr="00C11D94" w:rsidRDefault="00C11D94" w:rsidP="00C11D94">
            <w:pPr>
              <w:jc w:val="center"/>
              <w:rPr>
                <w:b/>
                <w:sz w:val="20"/>
                <w:szCs w:val="20"/>
              </w:rPr>
            </w:pPr>
            <w:r w:rsidRPr="00C11D94">
              <w:rPr>
                <w:b/>
                <w:sz w:val="20"/>
                <w:szCs w:val="20"/>
              </w:rPr>
              <w:t>¿Cuándo debo enviar la orden de servicio?</w:t>
            </w:r>
          </w:p>
        </w:tc>
      </w:tr>
      <w:tr w:rsidR="00C11D94" w:rsidRPr="00C11D94" w:rsidTr="00C11D94">
        <w:trPr>
          <w:trHeight w:val="718"/>
        </w:trPr>
        <w:tc>
          <w:tcPr>
            <w:tcW w:w="1039" w:type="pct"/>
            <w:vAlign w:val="center"/>
          </w:tcPr>
          <w:p w:rsidR="00C11D94" w:rsidRPr="00C11D94" w:rsidRDefault="00C11D94" w:rsidP="00C11D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D94">
              <w:rPr>
                <w:sz w:val="20"/>
                <w:szCs w:val="20"/>
              </w:rPr>
              <w:t xml:space="preserve">Orden de servicio </w:t>
            </w:r>
            <w:r w:rsidRPr="00C11D94">
              <w:rPr>
                <w:rFonts w:ascii="Calibri" w:hAnsi="Calibri" w:cs="Calibri"/>
                <w:b/>
                <w:bCs/>
                <w:sz w:val="20"/>
                <w:szCs w:val="20"/>
              </w:rPr>
              <w:t>SIN FIRMAR</w:t>
            </w:r>
          </w:p>
          <w:p w:rsidR="00C11D94" w:rsidRPr="00C11D94" w:rsidRDefault="00C11D94" w:rsidP="00C1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pct"/>
            <w:vAlign w:val="center"/>
          </w:tcPr>
          <w:p w:rsidR="00C11D94" w:rsidRPr="00C11D94" w:rsidRDefault="00B85C3D" w:rsidP="00C11D94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C11D94" w:rsidRPr="00C11D94">
                <w:rPr>
                  <w:rStyle w:val="Hipervnculo"/>
                  <w:sz w:val="20"/>
                  <w:szCs w:val="20"/>
                </w:rPr>
                <w:t>https://www.ulpgc.es/sites/default/files/ArchivosULPGC</w:t>
              </w:r>
              <w:r w:rsidR="00C11D94" w:rsidRPr="00C11D94">
                <w:rPr>
                  <w:rStyle w:val="Hipervnculo"/>
                  <w:sz w:val="20"/>
                  <w:szCs w:val="20"/>
                </w:rPr>
                <w:br/>
                <w:t>/sinvestigacion/orden_de_servicio_2021_2.doc</w:t>
              </w:r>
            </w:hyperlink>
          </w:p>
        </w:tc>
        <w:tc>
          <w:tcPr>
            <w:tcW w:w="1124" w:type="pct"/>
            <w:vAlign w:val="center"/>
          </w:tcPr>
          <w:p w:rsidR="00C11D94" w:rsidRPr="00C11D94" w:rsidRDefault="00C11D94" w:rsidP="00C11D94">
            <w:pPr>
              <w:jc w:val="center"/>
              <w:rPr>
                <w:sz w:val="20"/>
                <w:szCs w:val="20"/>
              </w:rPr>
            </w:pPr>
            <w:r w:rsidRPr="00C11D94">
              <w:rPr>
                <w:sz w:val="20"/>
                <w:szCs w:val="20"/>
              </w:rPr>
              <w:t>Instancia general en la sede electrónica dirigida al Servicio de Investigación</w:t>
            </w:r>
          </w:p>
        </w:tc>
        <w:tc>
          <w:tcPr>
            <w:tcW w:w="950" w:type="pct"/>
            <w:vAlign w:val="center"/>
          </w:tcPr>
          <w:p w:rsidR="00C11D94" w:rsidRPr="00C11D94" w:rsidRDefault="00C11D94" w:rsidP="00C11D94">
            <w:pPr>
              <w:jc w:val="center"/>
              <w:rPr>
                <w:sz w:val="20"/>
                <w:szCs w:val="20"/>
              </w:rPr>
            </w:pPr>
            <w:r w:rsidRPr="00C11D94">
              <w:rPr>
                <w:sz w:val="20"/>
                <w:szCs w:val="20"/>
              </w:rPr>
              <w:t>Al menos 10 días hábiles antes del inicio del viaje</w:t>
            </w:r>
          </w:p>
        </w:tc>
      </w:tr>
    </w:tbl>
    <w:p w:rsidR="00C11D94" w:rsidRDefault="00C11D94" w:rsidP="00433878">
      <w:pPr>
        <w:rPr>
          <w:sz w:val="2"/>
          <w:szCs w:val="20"/>
        </w:rPr>
      </w:pPr>
    </w:p>
    <w:p w:rsidR="00C11D94" w:rsidRDefault="00C11D94" w:rsidP="00433878">
      <w:pPr>
        <w:rPr>
          <w:sz w:val="2"/>
          <w:szCs w:val="20"/>
        </w:rPr>
      </w:pPr>
    </w:p>
    <w:p w:rsidR="00C11D94" w:rsidRPr="00C11D94" w:rsidRDefault="00C11D94" w:rsidP="00433878">
      <w:pPr>
        <w:rPr>
          <w:sz w:val="2"/>
          <w:szCs w:val="20"/>
        </w:rPr>
      </w:pPr>
    </w:p>
    <w:p w:rsidR="002E784E" w:rsidRPr="00C11D94" w:rsidRDefault="002E784E" w:rsidP="00433878">
      <w:pPr>
        <w:rPr>
          <w:sz w:val="20"/>
          <w:szCs w:val="20"/>
        </w:rPr>
      </w:pPr>
      <w:r w:rsidRPr="00C11D94">
        <w:rPr>
          <w:sz w:val="20"/>
          <w:szCs w:val="20"/>
        </w:rPr>
        <w:t>Rec</w:t>
      </w:r>
      <w:r w:rsidR="004952BA" w:rsidRPr="00C11D94">
        <w:rPr>
          <w:sz w:val="20"/>
          <w:szCs w:val="20"/>
        </w:rPr>
        <w:t xml:space="preserve">uerde que, si desea liquidar gastos de </w:t>
      </w:r>
      <w:r w:rsidRPr="00C11D94">
        <w:rPr>
          <w:sz w:val="20"/>
          <w:szCs w:val="20"/>
        </w:rPr>
        <w:t xml:space="preserve">kilometraje </w:t>
      </w:r>
      <w:r w:rsidR="004952BA" w:rsidRPr="00C11D94">
        <w:rPr>
          <w:sz w:val="20"/>
          <w:szCs w:val="20"/>
        </w:rPr>
        <w:t>o aparcamiento, debe completar el número de matrícula del vehículo particular utilizado.</w:t>
      </w:r>
    </w:p>
    <w:p w:rsidR="00FF0FB3" w:rsidRPr="00C11D94" w:rsidRDefault="00FF0FB3" w:rsidP="00EF03A8">
      <w:pPr>
        <w:pStyle w:val="Sinespaciado"/>
        <w:rPr>
          <w:sz w:val="20"/>
          <w:szCs w:val="20"/>
        </w:rPr>
      </w:pPr>
    </w:p>
    <w:p w:rsidR="008477BF" w:rsidRPr="00C11D94" w:rsidRDefault="008477BF" w:rsidP="00433878">
      <w:pPr>
        <w:rPr>
          <w:sz w:val="20"/>
          <w:szCs w:val="20"/>
        </w:rPr>
      </w:pPr>
      <w:r w:rsidRPr="00C11D94">
        <w:rPr>
          <w:sz w:val="20"/>
          <w:szCs w:val="20"/>
        </w:rPr>
        <w:t xml:space="preserve">En el caso de </w:t>
      </w:r>
      <w:r w:rsidR="00C11D94" w:rsidRPr="00C11D94">
        <w:rPr>
          <w:sz w:val="20"/>
          <w:szCs w:val="20"/>
        </w:rPr>
        <w:t xml:space="preserve">reservar mediante </w:t>
      </w:r>
      <w:r w:rsidRPr="00C11D94">
        <w:rPr>
          <w:b/>
          <w:sz w:val="20"/>
          <w:szCs w:val="20"/>
          <w:u w:val="single"/>
        </w:rPr>
        <w:t>vale de agencia de viaje</w:t>
      </w:r>
      <w:r w:rsidRPr="00C11D94">
        <w:rPr>
          <w:sz w:val="20"/>
          <w:szCs w:val="20"/>
        </w:rPr>
        <w:t>:</w:t>
      </w:r>
    </w:p>
    <w:tbl>
      <w:tblPr>
        <w:tblStyle w:val="Tablaconcuadrcula"/>
        <w:tblpPr w:leftFromText="141" w:rightFromText="141" w:vertAnchor="page" w:horzAnchor="margin" w:tblpY="7743"/>
        <w:tblW w:w="5000" w:type="pct"/>
        <w:tblLayout w:type="fixed"/>
        <w:tblLook w:val="04A0" w:firstRow="1" w:lastRow="0" w:firstColumn="1" w:lastColumn="0" w:noHBand="0" w:noVBand="1"/>
      </w:tblPr>
      <w:tblGrid>
        <w:gridCol w:w="2964"/>
        <w:gridCol w:w="5253"/>
        <w:gridCol w:w="3118"/>
        <w:gridCol w:w="2659"/>
      </w:tblGrid>
      <w:tr w:rsidR="002E784E" w:rsidRPr="00C11D94" w:rsidTr="00C77CBA">
        <w:trPr>
          <w:trHeight w:val="452"/>
        </w:trPr>
        <w:tc>
          <w:tcPr>
            <w:tcW w:w="1059" w:type="pct"/>
            <w:shd w:val="clear" w:color="auto" w:fill="BDD6EE" w:themeFill="accent1" w:themeFillTint="66"/>
            <w:vAlign w:val="center"/>
          </w:tcPr>
          <w:p w:rsidR="002E784E" w:rsidRPr="00C11D94" w:rsidRDefault="002E784E" w:rsidP="00FF0FB3">
            <w:pPr>
              <w:jc w:val="center"/>
              <w:rPr>
                <w:b/>
                <w:sz w:val="20"/>
                <w:szCs w:val="20"/>
              </w:rPr>
            </w:pPr>
            <w:r w:rsidRPr="00C11D94">
              <w:rPr>
                <w:b/>
                <w:sz w:val="20"/>
                <w:szCs w:val="20"/>
              </w:rPr>
              <w:t>¿Qué documentación debo aportar?</w:t>
            </w:r>
          </w:p>
        </w:tc>
        <w:tc>
          <w:tcPr>
            <w:tcW w:w="1877" w:type="pct"/>
            <w:shd w:val="clear" w:color="auto" w:fill="BDD6EE" w:themeFill="accent1" w:themeFillTint="66"/>
            <w:vAlign w:val="center"/>
          </w:tcPr>
          <w:p w:rsidR="002E784E" w:rsidRPr="00C11D94" w:rsidRDefault="002E784E" w:rsidP="00FF0FB3">
            <w:pPr>
              <w:jc w:val="center"/>
              <w:rPr>
                <w:b/>
                <w:sz w:val="20"/>
                <w:szCs w:val="20"/>
              </w:rPr>
            </w:pPr>
            <w:r w:rsidRPr="00C11D94">
              <w:rPr>
                <w:b/>
                <w:sz w:val="20"/>
                <w:szCs w:val="20"/>
              </w:rPr>
              <w:t>¿Dónde descargo el documento?</w:t>
            </w:r>
          </w:p>
        </w:tc>
        <w:tc>
          <w:tcPr>
            <w:tcW w:w="1114" w:type="pct"/>
            <w:shd w:val="clear" w:color="auto" w:fill="BDD6EE" w:themeFill="accent1" w:themeFillTint="66"/>
            <w:vAlign w:val="center"/>
          </w:tcPr>
          <w:p w:rsidR="002E784E" w:rsidRPr="00C11D94" w:rsidRDefault="002E784E" w:rsidP="00FF0FB3">
            <w:pPr>
              <w:jc w:val="center"/>
              <w:rPr>
                <w:b/>
                <w:sz w:val="20"/>
                <w:szCs w:val="20"/>
              </w:rPr>
            </w:pPr>
            <w:r w:rsidRPr="00C11D94">
              <w:rPr>
                <w:b/>
                <w:sz w:val="20"/>
                <w:szCs w:val="20"/>
              </w:rPr>
              <w:t>¿Por qué vía remito la documentación?</w:t>
            </w:r>
          </w:p>
        </w:tc>
        <w:tc>
          <w:tcPr>
            <w:tcW w:w="950" w:type="pct"/>
            <w:shd w:val="clear" w:color="auto" w:fill="BDD6EE" w:themeFill="accent1" w:themeFillTint="66"/>
            <w:vAlign w:val="center"/>
          </w:tcPr>
          <w:p w:rsidR="002E784E" w:rsidRPr="00C11D94" w:rsidRDefault="00C77CBA" w:rsidP="00C77CBA">
            <w:pPr>
              <w:jc w:val="center"/>
              <w:rPr>
                <w:b/>
                <w:sz w:val="20"/>
                <w:szCs w:val="20"/>
              </w:rPr>
            </w:pPr>
            <w:r w:rsidRPr="00C11D94">
              <w:rPr>
                <w:b/>
                <w:sz w:val="20"/>
                <w:szCs w:val="20"/>
              </w:rPr>
              <w:t>¿Cuándo debo enviar la comunicación de reserva</w:t>
            </w:r>
            <w:r w:rsidR="002E784E" w:rsidRPr="00C11D94">
              <w:rPr>
                <w:b/>
                <w:sz w:val="20"/>
                <w:szCs w:val="20"/>
              </w:rPr>
              <w:t>?</w:t>
            </w:r>
          </w:p>
        </w:tc>
      </w:tr>
      <w:tr w:rsidR="002E784E" w:rsidRPr="00C11D94" w:rsidTr="00C77CBA">
        <w:trPr>
          <w:trHeight w:val="1007"/>
        </w:trPr>
        <w:tc>
          <w:tcPr>
            <w:tcW w:w="1059" w:type="pct"/>
            <w:vAlign w:val="center"/>
          </w:tcPr>
          <w:p w:rsidR="002E784E" w:rsidRPr="00C11D94" w:rsidRDefault="002E784E" w:rsidP="00FF0F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D94">
              <w:rPr>
                <w:sz w:val="20"/>
                <w:szCs w:val="20"/>
              </w:rPr>
              <w:t>IMPRESO 15: Comunicación reserva de viaje (vale)</w:t>
            </w:r>
          </w:p>
        </w:tc>
        <w:tc>
          <w:tcPr>
            <w:tcW w:w="1877" w:type="pct"/>
            <w:vAlign w:val="center"/>
          </w:tcPr>
          <w:p w:rsidR="00C95467" w:rsidRPr="00C11D94" w:rsidRDefault="00C95467" w:rsidP="00C95467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044A18">
                <w:rPr>
                  <w:rStyle w:val="Hipervnculo"/>
                  <w:sz w:val="20"/>
                  <w:szCs w:val="20"/>
                </w:rPr>
                <w:t>https://www.ulpgc.es/sites/default/files/ArchivosULPGC/investigacion/1_impreso_15_comunicacion_reserva_y_vale_2_0.pdf</w:t>
              </w:r>
            </w:hyperlink>
            <w:bookmarkStart w:id="0" w:name="_GoBack"/>
            <w:bookmarkEnd w:id="0"/>
          </w:p>
        </w:tc>
        <w:tc>
          <w:tcPr>
            <w:tcW w:w="1114" w:type="pct"/>
            <w:vAlign w:val="center"/>
          </w:tcPr>
          <w:p w:rsidR="002E784E" w:rsidRPr="00C11D94" w:rsidRDefault="002E784E" w:rsidP="00FF0FB3">
            <w:pPr>
              <w:jc w:val="center"/>
              <w:rPr>
                <w:sz w:val="20"/>
                <w:szCs w:val="20"/>
              </w:rPr>
            </w:pPr>
            <w:r w:rsidRPr="00C11D94">
              <w:rPr>
                <w:sz w:val="20"/>
                <w:szCs w:val="20"/>
              </w:rPr>
              <w:t>Correo electrónico</w:t>
            </w:r>
          </w:p>
        </w:tc>
        <w:tc>
          <w:tcPr>
            <w:tcW w:w="950" w:type="pct"/>
            <w:vAlign w:val="center"/>
          </w:tcPr>
          <w:p w:rsidR="002E784E" w:rsidRPr="00C11D94" w:rsidRDefault="002E784E" w:rsidP="00FF0FB3">
            <w:pPr>
              <w:jc w:val="center"/>
              <w:rPr>
                <w:sz w:val="20"/>
                <w:szCs w:val="20"/>
              </w:rPr>
            </w:pPr>
            <w:r w:rsidRPr="00C11D94">
              <w:rPr>
                <w:sz w:val="20"/>
                <w:szCs w:val="20"/>
              </w:rPr>
              <w:t>Al menos 48 horas antes del vencimiento de la reserva</w:t>
            </w:r>
          </w:p>
        </w:tc>
      </w:tr>
    </w:tbl>
    <w:p w:rsidR="00FF0FB3" w:rsidRPr="00C11D94" w:rsidRDefault="00FF0FB3" w:rsidP="0003467F">
      <w:pPr>
        <w:jc w:val="both"/>
        <w:rPr>
          <w:sz w:val="20"/>
          <w:szCs w:val="20"/>
        </w:rPr>
      </w:pPr>
    </w:p>
    <w:p w:rsidR="002E784E" w:rsidRPr="00C11D94" w:rsidRDefault="00D05B79" w:rsidP="0003467F">
      <w:pPr>
        <w:jc w:val="both"/>
        <w:rPr>
          <w:sz w:val="20"/>
          <w:szCs w:val="20"/>
        </w:rPr>
      </w:pPr>
      <w:r w:rsidRPr="00C11D94">
        <w:rPr>
          <w:sz w:val="20"/>
          <w:szCs w:val="20"/>
        </w:rPr>
        <w:t>Los impresos mencionados anteriormente se podrán descargar de la web</w:t>
      </w:r>
      <w:r w:rsidR="002E784E" w:rsidRPr="00C11D94">
        <w:rPr>
          <w:sz w:val="20"/>
          <w:szCs w:val="20"/>
        </w:rPr>
        <w:t xml:space="preserve"> del Servicio de Investigación: </w:t>
      </w:r>
    </w:p>
    <w:p w:rsidR="00991B93" w:rsidRPr="00C11D94" w:rsidRDefault="00B85C3D" w:rsidP="0003467F">
      <w:pPr>
        <w:jc w:val="both"/>
        <w:rPr>
          <w:sz w:val="20"/>
          <w:szCs w:val="20"/>
        </w:rPr>
      </w:pPr>
      <w:hyperlink r:id="rId8" w:history="1">
        <w:r w:rsidR="00D05B79" w:rsidRPr="00C11D94">
          <w:rPr>
            <w:rStyle w:val="Hipervnculo"/>
            <w:sz w:val="20"/>
            <w:szCs w:val="20"/>
          </w:rPr>
          <w:t>https://www.ulpgc.es/sinvestigacion/proyectosconveniso-e-infraestructuras-investigacion</w:t>
        </w:r>
      </w:hyperlink>
    </w:p>
    <w:sectPr w:rsidR="00991B93" w:rsidRPr="00C11D94" w:rsidSect="00FF0FB3">
      <w:headerReference w:type="default" r:id="rId9"/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3D" w:rsidRDefault="00B85C3D" w:rsidP="00D05B79">
      <w:pPr>
        <w:spacing w:after="0" w:line="240" w:lineRule="auto"/>
      </w:pPr>
      <w:r>
        <w:separator/>
      </w:r>
    </w:p>
  </w:endnote>
  <w:endnote w:type="continuationSeparator" w:id="0">
    <w:p w:rsidR="00B85C3D" w:rsidRDefault="00B85C3D" w:rsidP="00D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3D" w:rsidRDefault="00B85C3D" w:rsidP="00D05B79">
      <w:pPr>
        <w:spacing w:after="0" w:line="240" w:lineRule="auto"/>
      </w:pPr>
      <w:r>
        <w:separator/>
      </w:r>
    </w:p>
  </w:footnote>
  <w:footnote w:type="continuationSeparator" w:id="0">
    <w:p w:rsidR="00B85C3D" w:rsidRDefault="00B85C3D" w:rsidP="00D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79" w:rsidRDefault="00D05B79">
    <w:pPr>
      <w:pStyle w:val="Encabezado"/>
    </w:pPr>
    <w:r>
      <w:rPr>
        <w:noProof/>
        <w:lang w:eastAsia="es-ES"/>
      </w:rPr>
      <w:drawing>
        <wp:inline distT="0" distB="0" distL="0" distR="0" wp14:anchorId="5CE0F2A3" wp14:editId="3CC92F42">
          <wp:extent cx="2381250" cy="571500"/>
          <wp:effectExtent l="0" t="0" r="0" b="0"/>
          <wp:docPr id="5" name="Imagen 5" descr="C:\Users\Usuario\Pictures\Servicio de Investigación v__horizontal_cotidiano_cut_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suario\Pictures\Servicio de Investigación v__horizontal_cotidiano_cut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FF"/>
    <w:rsid w:val="000058A7"/>
    <w:rsid w:val="0003467F"/>
    <w:rsid w:val="00096470"/>
    <w:rsid w:val="000B678F"/>
    <w:rsid w:val="000C3009"/>
    <w:rsid w:val="000E7B22"/>
    <w:rsid w:val="00130EDA"/>
    <w:rsid w:val="00157AED"/>
    <w:rsid w:val="0019145D"/>
    <w:rsid w:val="001C4E2F"/>
    <w:rsid w:val="001F10F5"/>
    <w:rsid w:val="001F502D"/>
    <w:rsid w:val="002C4EA7"/>
    <w:rsid w:val="002E784E"/>
    <w:rsid w:val="003419B5"/>
    <w:rsid w:val="00433878"/>
    <w:rsid w:val="00487CC3"/>
    <w:rsid w:val="004952BA"/>
    <w:rsid w:val="004C4BF3"/>
    <w:rsid w:val="006023E5"/>
    <w:rsid w:val="00624377"/>
    <w:rsid w:val="006922BA"/>
    <w:rsid w:val="006B4590"/>
    <w:rsid w:val="006C18BD"/>
    <w:rsid w:val="00780953"/>
    <w:rsid w:val="008477BF"/>
    <w:rsid w:val="008B0683"/>
    <w:rsid w:val="008D1040"/>
    <w:rsid w:val="00991B93"/>
    <w:rsid w:val="009E307C"/>
    <w:rsid w:val="00B177AF"/>
    <w:rsid w:val="00B474D4"/>
    <w:rsid w:val="00B579E8"/>
    <w:rsid w:val="00B660B8"/>
    <w:rsid w:val="00B85C3D"/>
    <w:rsid w:val="00BA4D60"/>
    <w:rsid w:val="00C11D94"/>
    <w:rsid w:val="00C45C83"/>
    <w:rsid w:val="00C709FF"/>
    <w:rsid w:val="00C77CBA"/>
    <w:rsid w:val="00C94338"/>
    <w:rsid w:val="00C95467"/>
    <w:rsid w:val="00CD382F"/>
    <w:rsid w:val="00D003A8"/>
    <w:rsid w:val="00D02D3E"/>
    <w:rsid w:val="00D05B79"/>
    <w:rsid w:val="00DC0510"/>
    <w:rsid w:val="00DF1024"/>
    <w:rsid w:val="00E6752C"/>
    <w:rsid w:val="00EF03A8"/>
    <w:rsid w:val="00F0242D"/>
    <w:rsid w:val="00F04D02"/>
    <w:rsid w:val="00F40323"/>
    <w:rsid w:val="00FB7A42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0EB9"/>
  <w15:chartTrackingRefBased/>
  <w15:docId w15:val="{18790766-475C-48CC-95B0-418FB05E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9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05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B79"/>
  </w:style>
  <w:style w:type="paragraph" w:styleId="Piedepgina">
    <w:name w:val="footer"/>
    <w:basedOn w:val="Normal"/>
    <w:link w:val="PiedepginaCar"/>
    <w:uiPriority w:val="99"/>
    <w:unhideWhenUsed/>
    <w:rsid w:val="00D05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B79"/>
  </w:style>
  <w:style w:type="character" w:styleId="Hipervnculo">
    <w:name w:val="Hyperlink"/>
    <w:basedOn w:val="Fuentedeprrafopredeter"/>
    <w:uiPriority w:val="99"/>
    <w:unhideWhenUsed/>
    <w:rsid w:val="00D05B7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E784E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2E784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investigacion/proyectosconveniso-e-infraestructuras-investigac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lpgc.es/sites/default/files/ArchivosULPGC/investigacion/1_impreso_15_comunicacion_reserva_y_vale_2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pgc.es/sites/default/files/ArchivosULPGC/sinvestigacion/orden_de_servicio_2021_2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 1 del Servicio de Investigación</dc:creator>
  <cp:keywords/>
  <dc:description/>
  <cp:lastModifiedBy>Técnico 1 del Servicio de Investigación</cp:lastModifiedBy>
  <cp:revision>56</cp:revision>
  <cp:lastPrinted>2022-08-02T11:17:00Z</cp:lastPrinted>
  <dcterms:created xsi:type="dcterms:W3CDTF">2022-07-29T09:12:00Z</dcterms:created>
  <dcterms:modified xsi:type="dcterms:W3CDTF">2024-11-14T08:41:00Z</dcterms:modified>
</cp:coreProperties>
</file>